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МІНІСТЕРСТВО ОСВІТИ І НАУКИ УКРАЇНИ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ХАРКІВСЬКИЙ НАЦІОНАЛЬНИЙ УНІВЕРСИТЕТ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ІМЕНІ В. Н. КАРАЗІНА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6.0" w:type="dxa"/>
        <w:jc w:val="left"/>
        <w:tblInd w:w="-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78"/>
        <w:gridCol w:w="4958"/>
        <w:tblGridChange w:id="0">
          <w:tblGrid>
            <w:gridCol w:w="4678"/>
            <w:gridCol w:w="495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ЗАТВЕРДЖЕНО</w:t>
            </w:r>
          </w:p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Вченою радою Харківського національного університету імені В. Н. Каразіна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(протокол № ____ від ___________),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введено в дію наказом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від ________________№ ______ </w:t>
            </w:r>
          </w:p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Проректор з науково-педагогічної роботи </w:t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_____________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Борис САМОРОДОВ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СЕРТИФІКАТНА ОСВІТНЯ ПРОГРАМА</w:t>
      </w:r>
    </w:p>
    <w:p w:rsidR="00000000" w:rsidDel="00000000" w:rsidP="00000000" w:rsidRDefault="00000000" w:rsidRPr="00000000" w14:paraId="0000001C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«</w:t>
      </w:r>
      <w:r w:rsidDel="00000000" w:rsidR="00000000" w:rsidRPr="00000000">
        <w:rPr>
          <w:rtl w:val="0"/>
        </w:rPr>
        <w:t xml:space="preserve">Базові поняття та принципи розмінування</w:t>
      </w:r>
      <w:r w:rsidDel="00000000" w:rsidR="00000000" w:rsidRPr="00000000">
        <w:rPr>
          <w:b w:val="1"/>
          <w:bCs w:val="1"/>
          <w:rtl w:val="0"/>
        </w:rPr>
        <w:t xml:space="preserve">»</w:t>
      </w:r>
    </w:p>
    <w:p w:rsidR="00000000" w:rsidDel="00000000" w:rsidP="00000000" w:rsidRDefault="00000000" w:rsidRPr="00000000" w14:paraId="0000001D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Харків 2026</w:t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ПЕРЕДМОВА</w:t>
      </w:r>
    </w:p>
    <w:p w:rsidR="00000000" w:rsidDel="00000000" w:rsidP="00000000" w:rsidRDefault="00000000" w:rsidRPr="00000000" w14:paraId="0000002C">
      <w:pPr>
        <w:ind w:firstLine="567"/>
        <w:rPr>
          <w:color w:val="000000"/>
        </w:rPr>
      </w:pPr>
      <w:bookmarkStart w:colFirst="0" w:colLast="0" w:name="_heading=h.gg4d5mtawqw0" w:id="0"/>
      <w:bookmarkEnd w:id="0"/>
      <w:r w:rsidDel="00000000" w:rsidR="00000000" w:rsidRPr="00000000">
        <w:rPr>
          <w:rtl w:val="0"/>
        </w:rPr>
        <w:t xml:space="preserve">Сертифікатна програма </w:t>
      </w:r>
      <w:r w:rsidDel="00000000" w:rsidR="00000000" w:rsidRPr="00000000">
        <w:rPr>
          <w:b w:val="1"/>
          <w:bCs w:val="1"/>
          <w:rtl w:val="0"/>
        </w:rPr>
        <w:t xml:space="preserve">«</w:t>
      </w:r>
      <w:r w:rsidDel="00000000" w:rsidR="00000000" w:rsidRPr="00000000">
        <w:rPr>
          <w:rtl w:val="0"/>
        </w:rPr>
        <w:t xml:space="preserve">Базові поняття та принципи розмінування</w:t>
      </w:r>
      <w:r w:rsidDel="00000000" w:rsidR="00000000" w:rsidRPr="00000000">
        <w:rPr>
          <w:b w:val="1"/>
          <w:bCs w:val="1"/>
          <w:rtl w:val="0"/>
        </w:rPr>
        <w:t xml:space="preserve">»</w:t>
      </w:r>
      <w:r w:rsidDel="00000000" w:rsidR="00000000" w:rsidRPr="00000000">
        <w:rPr>
          <w:rtl w:val="0"/>
        </w:rPr>
        <w:t xml:space="preserve"> розроблена: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firstLine="567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20" w:lineRule="auto"/>
        <w:ind w:left="2835" w:hanging="2835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Керівник програми – </w:t>
      </w:r>
      <w:r w:rsidDel="00000000" w:rsidR="00000000" w:rsidRPr="00000000">
        <w:rPr>
          <w:color w:val="000000"/>
          <w:rtl w:val="0"/>
        </w:rPr>
        <w:t xml:space="preserve">Бабічев Анатолій Валерійович, проректор з науково-педагогічної роботи, к. н. з держ. упр.,  доцент.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Анотація програми: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Програма «Базові поняття та принципи розмінування», розроблена фахівцями Каразінського університету, спрямована на формування у слухачів системного уявлення про ключові аспекти мінної безпеки, типи вибухонебезпечних предметів, основні процедури гуманітарного розмінування та міжнародні стандарти в цій сфері. Курс поєднує теоретичні знання з практичними навичками розпізнавання загроз, алгоритмами дій у разі виявлення вибухонебезпечних предметів, а також принципами взаємодії з відповідальними структурами. Програма призначена для освітян, представників громадянського суспільства, органів місцевого самоврядування та широкого кола зацікавлених осіб. Її мета — підвищення обізнаності населення та сприяння безпечному поверненню до повсякденного життя в умовах постконфліктного середовища.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120" w:before="0" w:line="240" w:lineRule="auto"/>
        <w:ind w:left="720" w:right="0" w:hanging="36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ОПИС СЕРТИФІКАТНОЇ ОСВІТНЬОЇ ПРОГРАМИ</w:t>
      </w:r>
    </w:p>
    <w:tbl>
      <w:tblPr>
        <w:tblStyle w:val="Table2"/>
        <w:tblW w:w="985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55"/>
        <w:gridCol w:w="854"/>
        <w:gridCol w:w="5146"/>
        <w:tblGridChange w:id="0">
          <w:tblGrid>
            <w:gridCol w:w="3855"/>
            <w:gridCol w:w="854"/>
            <w:gridCol w:w="5146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</w:tcPr>
          <w:p w:rsidR="00000000" w:rsidDel="00000000" w:rsidP="00000000" w:rsidRDefault="00000000" w:rsidRPr="00000000" w14:paraId="0000003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Загальна інформація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Офіційна назва програми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Базові поняття та принципи розмінування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Назва структурного підрозділу (кафедра, факультет, навчально-науковий інститут тощо)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Управління соціальних освітніх ініціатив та розвитку спільнот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Обсяг (тривалість) програми в годинах та/або кредитах ЄКТС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кредит ЄКТС (30 год.) – з урахуванням самостійної (позааудиторної) роботи та складання заліку.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Мова(и) викладання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Українська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Передумови навчання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Диплом не нижче молодшого бакалавра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Мінімальна та максимальна кількість осіб в групі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від 10 до 25 осіб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Форми навчання та вартість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Денна. Очна/дистанційна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Інтернет-адреса постійного розміщення опису освітньої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karazin.ua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4F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Мета програми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Формування базових знань і практичних навичок, необхідних для розпізнавання ВНП, реагування у випадку їх виявлення та загального розуміння принципів гуманітарного розмінування відповідно до міжнародних стандартів.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</w:tcPr>
          <w:p w:rsidR="00000000" w:rsidDel="00000000" w:rsidP="00000000" w:rsidRDefault="00000000" w:rsidRPr="00000000" w14:paraId="0000005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Компетентності, що вдосконалюються/ набуваються </w:t>
            </w:r>
            <w:r w:rsidDel="00000000" w:rsidR="00000000" w:rsidRPr="00000000">
              <w:rPr>
                <w:rtl w:val="0"/>
              </w:rPr>
              <w:t xml:space="preserve">(із урахуванням Національної рамки кваліфікацій)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tabs>
                <w:tab w:val="left" w:leader="none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Загальні компетентності (ЗК)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ЗК.1.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Уміння ідентифікувати ризики, пов’язані з ВНП. Здатність дотримуватися правил безпеки в зоні ризику.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B">
            <w:pPr>
              <w:tabs>
                <w:tab w:val="left" w:leader="none" w:pos="0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Фахові компетентності (ФК)</w:t>
            </w:r>
          </w:p>
          <w:p w:rsidR="00000000" w:rsidDel="00000000" w:rsidP="00000000" w:rsidRDefault="00000000" w:rsidRPr="00000000" w14:paraId="0000005C">
            <w:pPr>
              <w:tabs>
                <w:tab w:val="left" w:leader="none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ФК.1.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Розпізнавання типів ВНП (міни, боєприпаси, СВП).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ФК.2.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Знання процедур гуманітарного розмінування.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ФК.3.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Розуміння принципів IMAS та національного законодавства.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ФК.4.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Алгоритм дій при виявленні підозрілих предметів.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ФК.5.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Взаємодія з профільними службами (ДСНС, поліція, ЗСУ).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6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Результати навчання: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знання, уміння/навички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РН.1.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Знати види та ознаки вибухонебезпечних предметів.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РН.2.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Вміти безпечно реагувати на підозрілі об’єкти.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РН.3.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Розуміти основи міжнародного гуманітарного права та IMAS.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РН.4.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Формувати безпечне середовище у громаді.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РН.5.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Поширювати знання про мінну небезпеку серед населення.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7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Особливості програми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Цільова аудиторія слухачів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Освітяни, держслужбовці, волонтери, представники територіальних громад, студенти, громадські активісти.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Найменування замовника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ХОВА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Академічні, професійні можливості за результатами опанування програми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Слухачі зможуть застосовувати набуті знання у сфері безпеки та розмінування в освітній, громадській, адміністративній діяльності, сприяти інформуванню населення, взаємодіяти з профільними службами та продовжувати навчання за спеціалізованими програмами з гуманітарного розмінування й цивільного захисту.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Інше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Додаткові послуги (якщо такі передбачаються), вартість</w:t>
            </w:r>
          </w:p>
        </w:tc>
      </w:tr>
    </w:tbl>
    <w:p w:rsidR="00000000" w:rsidDel="00000000" w:rsidP="00000000" w:rsidRDefault="00000000" w:rsidRPr="00000000" w14:paraId="0000008F">
      <w:pPr>
        <w:widowControl w:val="1"/>
        <w:spacing w:after="160" w:line="259" w:lineRule="auto"/>
        <w:jc w:val="left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42" w:right="0" w:hanging="10.999999999999996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НАВЧАЛЬНИЙ (НАВЧАЛЬНО ТЕМАТИЧНИЙ) ПЛАН</w:t>
      </w:r>
    </w:p>
    <w:tbl>
      <w:tblPr>
        <w:tblStyle w:val="Table3"/>
        <w:tblW w:w="996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14"/>
        <w:gridCol w:w="2869"/>
        <w:gridCol w:w="994"/>
        <w:gridCol w:w="1303"/>
        <w:gridCol w:w="883"/>
        <w:tblGridChange w:id="0">
          <w:tblGrid>
            <w:gridCol w:w="3914"/>
            <w:gridCol w:w="2869"/>
            <w:gridCol w:w="994"/>
            <w:gridCol w:w="1303"/>
            <w:gridCol w:w="883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Компоненти програми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Загальна кількість годин/ кредитів ЕКТС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Аудиторна робота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5">
            <w:pPr>
              <w:ind w:left="113" w:right="113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Самостійна</w:t>
            </w:r>
          </w:p>
          <w:p w:rsidR="00000000" w:rsidDel="00000000" w:rsidP="00000000" w:rsidRDefault="00000000" w:rsidRPr="00000000" w14:paraId="00000096">
            <w:pPr>
              <w:ind w:left="113" w:right="113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робота</w:t>
            </w:r>
          </w:p>
        </w:tc>
      </w:tr>
      <w:tr>
        <w:trPr>
          <w:cantSplit w:val="1"/>
          <w:trHeight w:val="175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ind w:left="113" w:right="113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Лекція</w:t>
            </w:r>
          </w:p>
        </w:tc>
        <w:tc>
          <w:tcPr/>
          <w:p w:rsidR="00000000" w:rsidDel="00000000" w:rsidP="00000000" w:rsidRDefault="00000000" w:rsidRPr="00000000" w14:paraId="0000009A">
            <w:pPr>
              <w:ind w:left="113" w:right="113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Практична</w:t>
            </w:r>
          </w:p>
          <w:p w:rsidR="00000000" w:rsidDel="00000000" w:rsidP="00000000" w:rsidRDefault="00000000" w:rsidRPr="00000000" w14:paraId="0000009B">
            <w:pPr>
              <w:ind w:left="113" w:right="113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практика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9D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Розділ 1. Основи мінної безпеки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Тема 1. </w:t>
            </w:r>
            <w:r w:rsidDel="00000000" w:rsidR="00000000" w:rsidRPr="00000000">
              <w:rPr>
                <w:rtl w:val="0"/>
              </w:rPr>
              <w:t xml:space="preserve">Вступ до мінної безпеки. Актуальність та загрози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1 кредит ЄКТС (30 год.)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Тема 2. Основні типи вибухонебезпечних предметів (ВНП): міни, боєприпаси, СВП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Тема 3. Гуманітарне розмінування: принципи, етапи, міжнародні стандарти (IMAS)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Тема 4. Алгоритм дій у разі виявлення ВНП. Повідомлення та взаємодія з відповідними службами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Тема 5. Безпека в громаді: інформування, поведінка в зоні ризику, профілактика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Тема 6. Практичне моделювання типових ситуацій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414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Підсумковий контроль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C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форма проведення підсумкового контролю тестові завдання – 1 год.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Всього</w:t>
            </w:r>
          </w:p>
        </w:tc>
        <w:tc>
          <w:tcPr/>
          <w:p w:rsidR="00000000" w:rsidDel="00000000" w:rsidP="00000000" w:rsidRDefault="00000000" w:rsidRPr="00000000" w14:paraId="000000C6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8</w:t>
            </w:r>
          </w:p>
        </w:tc>
      </w:tr>
    </w:tbl>
    <w:p w:rsidR="00000000" w:rsidDel="00000000" w:rsidP="00000000" w:rsidRDefault="00000000" w:rsidRPr="00000000" w14:paraId="000000CA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footerReference r:id="rId9" w:type="default"/>
      <w:footerReference r:id="rId10" w:type="even"/>
      <w:pgSz w:h="15840" w:w="12240" w:orient="portrait"/>
      <w:pgMar w:bottom="850" w:top="850" w:left="1417" w:right="85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i w:val="1"/>
      <w:iCs w:val="1"/>
    </w:rPr>
  </w:style>
  <w:style w:type="paragraph" w:styleId="Heading3">
    <w:name w:val="heading 3"/>
    <w:basedOn w:val="Normal"/>
    <w:next w:val="Normal"/>
    <w:pPr>
      <w:widowControl w:val="1"/>
      <w:jc w:val="left"/>
    </w:pPr>
    <w:rPr>
      <w:rFonts w:ascii="Courier New" w:cs="Courier New" w:eastAsia="Courier New" w:hAnsi="Courier New"/>
      <w:b w:val="1"/>
      <w:bCs w:val="1"/>
      <w:color w:val="000000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20" w:customStyle="1">
    <w:name w:val="Заголовок 2 Знак"/>
    <w:basedOn w:val="a0"/>
    <w:link w:val="2"/>
    <w:rsid w:val="008D7A0F"/>
    <w:rPr>
      <w:rFonts w:ascii="Arial" w:cs="Arial" w:eastAsia="Courier New" w:hAnsi="Arial"/>
      <w:b w:val="1"/>
      <w:bCs w:val="1"/>
      <w:i w:val="1"/>
      <w:iCs w:val="1"/>
      <w:color w:val="000000"/>
      <w:sz w:val="28"/>
      <w:szCs w:val="28"/>
      <w:lang w:eastAsia="uk-UA"/>
    </w:rPr>
  </w:style>
  <w:style w:type="character" w:styleId="30" w:customStyle="1">
    <w:name w:val="Заголовок 3 Знак"/>
    <w:basedOn w:val="a0"/>
    <w:link w:val="3"/>
    <w:rsid w:val="008D7A0F"/>
    <w:rPr>
      <w:rFonts w:ascii="Courier New" w:cs="Courier New" w:eastAsia="Courier New" w:hAnsi="Courier New"/>
      <w:b w:val="1"/>
      <w:bCs w:val="1"/>
      <w:sz w:val="27"/>
      <w:szCs w:val="27"/>
      <w:lang w:eastAsia="uk-UA"/>
    </w:rPr>
  </w:style>
  <w:style w:type="paragraph" w:styleId="1" w:customStyle="1">
    <w:name w:val="Абзац списку1"/>
    <w:basedOn w:val="a"/>
    <w:rsid w:val="008D7A0F"/>
    <w:pPr>
      <w:widowControl w:val="1"/>
      <w:spacing w:after="200" w:line="276" w:lineRule="auto"/>
      <w:ind w:left="720"/>
      <w:contextualSpacing w:val="1"/>
      <w:jc w:val="left"/>
    </w:pPr>
    <w:rPr>
      <w:rFonts w:ascii="Calibri" w:cs="Times New Roman" w:eastAsia="Times New Roman" w:hAnsi="Calibri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styleId="a4" w:customStyle="1">
    <w:name w:val="Верхній колонтитул Знак"/>
    <w:basedOn w:val="a0"/>
    <w:link w:val="a3"/>
    <w:rsid w:val="008D7A0F"/>
    <w:rPr>
      <w:rFonts w:ascii="Times New Roman" w:cs="Courier New" w:eastAsia="Courier New" w:hAnsi="Times New Roman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styleId="a7" w:customStyle="1">
    <w:name w:val="Нижній колонтитул Знак"/>
    <w:basedOn w:val="a0"/>
    <w:link w:val="a6"/>
    <w:rsid w:val="008D7A0F"/>
    <w:rPr>
      <w:rFonts w:ascii="Times New Roman" w:cs="Courier New" w:eastAsia="Courier New" w:hAnsi="Times New Roman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 w:val="1"/>
      <w:spacing w:after="100" w:afterAutospacing="1" w:before="100" w:beforeAutospacing="1"/>
      <w:jc w:val="left"/>
    </w:pPr>
    <w:rPr>
      <w:rFonts w:ascii="Verdana" w:cs="Arial" w:eastAsia="Times New Roman" w:hAnsi="Verdana"/>
      <w:color w:val="260751"/>
      <w:sz w:val="20"/>
      <w:szCs w:val="20"/>
      <w:lang w:eastAsia="ru-RU" w:val="ru-RU"/>
    </w:rPr>
  </w:style>
  <w:style w:type="paragraph" w:styleId="a9">
    <w:name w:val="List Paragraph"/>
    <w:basedOn w:val="a"/>
    <w:uiPriority w:val="34"/>
    <w:qFormat w:val="1"/>
    <w:rsid w:val="00B93AC1"/>
    <w:pPr>
      <w:ind w:left="720"/>
      <w:contextualSpacing w:val="1"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b">
    <w:name w:val="annotation reference"/>
    <w:basedOn w:val="a0"/>
    <w:uiPriority w:val="99"/>
    <w:semiHidden w:val="1"/>
    <w:unhideWhenUsed w:val="1"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 w:val="1"/>
    <w:unhideWhenUsed w:val="1"/>
    <w:rsid w:val="00D6280A"/>
    <w:rPr>
      <w:sz w:val="20"/>
      <w:szCs w:val="20"/>
    </w:rPr>
  </w:style>
  <w:style w:type="character" w:styleId="ad" w:customStyle="1">
    <w:name w:val="Текст примітки Знак"/>
    <w:basedOn w:val="a0"/>
    <w:link w:val="ac"/>
    <w:uiPriority w:val="99"/>
    <w:semiHidden w:val="1"/>
    <w:rsid w:val="00D6280A"/>
    <w:rPr>
      <w:rFonts w:ascii="Times New Roman" w:cs="Courier New" w:eastAsia="Courier New" w:hAnsi="Times New Roman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 w:val="1"/>
    <w:unhideWhenUsed w:val="1"/>
    <w:rsid w:val="00D6280A"/>
    <w:rPr>
      <w:b w:val="1"/>
      <w:bCs w:val="1"/>
    </w:rPr>
  </w:style>
  <w:style w:type="character" w:styleId="af" w:customStyle="1">
    <w:name w:val="Тема примітки Знак"/>
    <w:basedOn w:val="ad"/>
    <w:link w:val="ae"/>
    <w:uiPriority w:val="99"/>
    <w:semiHidden w:val="1"/>
    <w:rsid w:val="00D6280A"/>
    <w:rPr>
      <w:rFonts w:ascii="Times New Roman" w:cs="Courier New" w:eastAsia="Courier New" w:hAnsi="Times New Roman"/>
      <w:b w:val="1"/>
      <w:bCs w:val="1"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 w:val="1"/>
    <w:unhideWhenUsed w:val="1"/>
    <w:rsid w:val="00D6280A"/>
    <w:rPr>
      <w:rFonts w:ascii="Segoe UI" w:cs="Segoe UI" w:hAnsi="Segoe UI"/>
      <w:sz w:val="18"/>
      <w:szCs w:val="18"/>
    </w:rPr>
  </w:style>
  <w:style w:type="character" w:styleId="af1" w:customStyle="1">
    <w:name w:val="Текст у виносці Знак"/>
    <w:basedOn w:val="a0"/>
    <w:link w:val="af0"/>
    <w:uiPriority w:val="99"/>
    <w:semiHidden w:val="1"/>
    <w:rsid w:val="00D6280A"/>
    <w:rPr>
      <w:rFonts w:ascii="Segoe UI" w:cs="Segoe UI" w:eastAsia="Courier New" w:hAnsi="Segoe UI"/>
      <w:color w:val="000000"/>
      <w:sz w:val="18"/>
      <w:szCs w:val="18"/>
      <w:lang w:eastAsia="uk-UA"/>
    </w:rPr>
  </w:style>
  <w:style w:type="character" w:styleId="af2">
    <w:name w:val="Strong"/>
    <w:basedOn w:val="a0"/>
    <w:uiPriority w:val="22"/>
    <w:qFormat w:val="1"/>
    <w:rsid w:val="00304972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Dqv9iQHyvbVGS5BaKaX4oGNijg==">CgMxLjAyDmguZ2c0ZDVtdGF3cXcwOAByITFOSG1IRnVIbzlYRlZiSFlwWVFtRDdXVnpaMTlKLWxDQw==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2025-05-21T13:19:00Z</dcterms:created>
  <dc:creator>NCCTforLEGAL#3</dc:creator>
</cp:coreProperties>
</file>